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2D" w:rsidRDefault="00137A34" w:rsidP="00C6382D">
      <w:pPr>
        <w:spacing w:line="276" w:lineRule="auto"/>
        <w:rPr>
          <w:rFonts w:ascii="Arial" w:hAnsi="Arial" w:cs="Arial"/>
          <w:b/>
          <w:sz w:val="28"/>
          <w:szCs w:val="28"/>
        </w:rPr>
      </w:pPr>
      <w:r w:rsidRPr="00DA6801">
        <w:rPr>
          <w:rFonts w:ascii="Arial" w:hAnsi="Arial" w:cs="Arial"/>
          <w:b/>
          <w:sz w:val="28"/>
          <w:szCs w:val="28"/>
        </w:rPr>
        <w:t xml:space="preserve">Statement </w:t>
      </w:r>
      <w:r w:rsidR="0072610D" w:rsidRPr="0072610D">
        <w:rPr>
          <w:rFonts w:ascii="Arial" w:hAnsi="Arial" w:cs="Arial"/>
          <w:b/>
          <w:bCs/>
          <w:sz w:val="28"/>
          <w:szCs w:val="28"/>
        </w:rPr>
        <w:t>Prim. Univ.-Prof. Dr. Peter Franz</w:t>
      </w:r>
    </w:p>
    <w:p w:rsidR="0072610D" w:rsidRPr="0072610D" w:rsidRDefault="0072610D" w:rsidP="0072610D">
      <w:pPr>
        <w:spacing w:line="276" w:lineRule="auto"/>
        <w:rPr>
          <w:rFonts w:ascii="Arial" w:hAnsi="Arial" w:cs="Arial"/>
          <w:b/>
          <w:szCs w:val="22"/>
        </w:rPr>
      </w:pPr>
      <w:r w:rsidRPr="0072610D">
        <w:rPr>
          <w:rFonts w:ascii="Arial" w:hAnsi="Arial" w:cs="Arial"/>
          <w:b/>
          <w:szCs w:val="22"/>
        </w:rPr>
        <w:t>Leiter der HNO-Abteilungen der Krankenanstalt Rudolfstiftung und des Sozialmedizinischen Zentrums Ost - Donauspital, Wien</w:t>
      </w:r>
    </w:p>
    <w:p w:rsidR="0072610D" w:rsidRPr="0010245A" w:rsidRDefault="0072610D" w:rsidP="00C6382D">
      <w:pPr>
        <w:spacing w:line="276" w:lineRule="auto"/>
        <w:rPr>
          <w:rFonts w:ascii="Arial" w:hAnsi="Arial" w:cs="Arial"/>
          <w:sz w:val="22"/>
          <w:szCs w:val="22"/>
        </w:rPr>
      </w:pPr>
    </w:p>
    <w:p w:rsidR="0072610D" w:rsidRPr="0072610D" w:rsidRDefault="0072610D" w:rsidP="0072610D">
      <w:pPr>
        <w:spacing w:line="276" w:lineRule="auto"/>
        <w:rPr>
          <w:rFonts w:ascii="Arial" w:hAnsi="Arial" w:cs="Arial"/>
          <w:b/>
          <w:sz w:val="28"/>
          <w:szCs w:val="28"/>
        </w:rPr>
      </w:pPr>
      <w:r>
        <w:rPr>
          <w:rFonts w:ascii="Arial" w:hAnsi="Arial" w:cs="Arial"/>
          <w:b/>
          <w:sz w:val="28"/>
          <w:szCs w:val="28"/>
        </w:rPr>
        <w:t>Aktive Mittelohrimplantate</w:t>
      </w:r>
      <w:r>
        <w:rPr>
          <w:rFonts w:ascii="Arial" w:hAnsi="Arial" w:cs="Arial"/>
          <w:b/>
          <w:sz w:val="28"/>
          <w:szCs w:val="28"/>
        </w:rPr>
        <w:br/>
      </w:r>
      <w:r w:rsidRPr="0072610D">
        <w:rPr>
          <w:rFonts w:ascii="Arial" w:hAnsi="Arial" w:cs="Arial"/>
          <w:b/>
          <w:bCs/>
          <w:lang w:eastAsia="de-AT"/>
        </w:rPr>
        <w:t>Neben den üblichen Hörgeräten gibt es implantierbare Hörsysteme, sogenannte aktive Mittelohrimplantate.</w:t>
      </w:r>
    </w:p>
    <w:p w:rsidR="0072610D" w:rsidRDefault="0072610D" w:rsidP="007D2E9A">
      <w:pPr>
        <w:spacing w:line="276" w:lineRule="auto"/>
        <w:rPr>
          <w:rFonts w:ascii="Arial" w:hAnsi="Arial" w:cs="Arial"/>
          <w:sz w:val="22"/>
          <w:szCs w:val="22"/>
        </w:rPr>
      </w:pPr>
    </w:p>
    <w:p w:rsidR="0072610D" w:rsidRPr="0072610D" w:rsidRDefault="0072610D" w:rsidP="0072610D">
      <w:pPr>
        <w:autoSpaceDE w:val="0"/>
        <w:autoSpaceDN w:val="0"/>
        <w:spacing w:line="276" w:lineRule="auto"/>
        <w:jc w:val="both"/>
        <w:rPr>
          <w:rFonts w:ascii="Arial" w:hAnsi="Arial" w:cs="Arial"/>
          <w:sz w:val="22"/>
          <w:szCs w:val="22"/>
          <w:lang w:eastAsia="de-AT"/>
        </w:rPr>
      </w:pPr>
      <w:r w:rsidRPr="0072610D">
        <w:rPr>
          <w:rFonts w:ascii="Arial" w:hAnsi="Arial" w:cs="Arial"/>
          <w:sz w:val="22"/>
          <w:szCs w:val="22"/>
          <w:lang w:eastAsia="de-AT"/>
        </w:rPr>
        <w:t>Implantierbare Hörsysteme kommen etwa bei folgenden Indikationen zum Einsatz:</w:t>
      </w:r>
    </w:p>
    <w:p w:rsidR="0072610D" w:rsidRPr="0072610D" w:rsidRDefault="0072610D" w:rsidP="0072610D">
      <w:pPr>
        <w:numPr>
          <w:ilvl w:val="0"/>
          <w:numId w:val="1"/>
        </w:numPr>
        <w:autoSpaceDE w:val="0"/>
        <w:autoSpaceDN w:val="0"/>
        <w:spacing w:line="276" w:lineRule="auto"/>
        <w:jc w:val="both"/>
        <w:rPr>
          <w:rFonts w:ascii="Arial" w:hAnsi="Arial" w:cs="Arial"/>
          <w:sz w:val="22"/>
          <w:szCs w:val="22"/>
          <w:lang w:eastAsia="de-AT"/>
        </w:rPr>
      </w:pPr>
      <w:r w:rsidRPr="0072610D">
        <w:rPr>
          <w:rFonts w:ascii="Arial" w:hAnsi="Arial" w:cs="Arial"/>
          <w:sz w:val="22"/>
          <w:szCs w:val="22"/>
          <w:lang w:eastAsia="de-AT"/>
        </w:rPr>
        <w:t xml:space="preserve">rezidivierenden (wiederkehrenden) </w:t>
      </w:r>
      <w:proofErr w:type="spellStart"/>
      <w:r w:rsidRPr="0072610D">
        <w:rPr>
          <w:rFonts w:ascii="Arial" w:hAnsi="Arial" w:cs="Arial"/>
          <w:sz w:val="22"/>
          <w:szCs w:val="22"/>
          <w:lang w:eastAsia="de-AT"/>
        </w:rPr>
        <w:t>Gehörgangsentzündungen</w:t>
      </w:r>
      <w:proofErr w:type="spellEnd"/>
      <w:r w:rsidRPr="0072610D">
        <w:rPr>
          <w:rFonts w:ascii="Arial" w:hAnsi="Arial" w:cs="Arial"/>
          <w:sz w:val="22"/>
          <w:szCs w:val="22"/>
          <w:lang w:eastAsia="de-AT"/>
        </w:rPr>
        <w:t xml:space="preserve"> infolge der Anwendung von konventionellen Hörgeräten</w:t>
      </w:r>
    </w:p>
    <w:p w:rsidR="0072610D" w:rsidRPr="0072610D" w:rsidRDefault="0072610D" w:rsidP="0072610D">
      <w:pPr>
        <w:numPr>
          <w:ilvl w:val="0"/>
          <w:numId w:val="1"/>
        </w:numPr>
        <w:autoSpaceDE w:val="0"/>
        <w:autoSpaceDN w:val="0"/>
        <w:spacing w:line="276" w:lineRule="auto"/>
        <w:jc w:val="both"/>
        <w:rPr>
          <w:rFonts w:ascii="Arial" w:hAnsi="Arial" w:cs="Arial"/>
          <w:sz w:val="22"/>
          <w:szCs w:val="22"/>
          <w:lang w:eastAsia="de-AT"/>
        </w:rPr>
      </w:pPr>
      <w:r w:rsidRPr="0072610D">
        <w:rPr>
          <w:rFonts w:ascii="Arial" w:hAnsi="Arial" w:cs="Arial"/>
          <w:sz w:val="22"/>
          <w:szCs w:val="22"/>
          <w:lang w:eastAsia="de-AT"/>
        </w:rPr>
        <w:t>Missbildungen des Gehörgangs und des Mittelohres</w:t>
      </w:r>
    </w:p>
    <w:p w:rsidR="0072610D" w:rsidRPr="0072610D" w:rsidRDefault="0072610D" w:rsidP="0072610D">
      <w:pPr>
        <w:numPr>
          <w:ilvl w:val="0"/>
          <w:numId w:val="1"/>
        </w:numPr>
        <w:autoSpaceDE w:val="0"/>
        <w:autoSpaceDN w:val="0"/>
        <w:spacing w:line="276" w:lineRule="auto"/>
        <w:jc w:val="both"/>
        <w:rPr>
          <w:rFonts w:ascii="Arial" w:hAnsi="Arial" w:cs="Arial"/>
          <w:sz w:val="22"/>
          <w:szCs w:val="22"/>
          <w:lang w:eastAsia="de-AT"/>
        </w:rPr>
      </w:pPr>
      <w:r w:rsidRPr="0072610D">
        <w:rPr>
          <w:rFonts w:ascii="Arial" w:hAnsi="Arial" w:cs="Arial"/>
          <w:sz w:val="22"/>
          <w:szCs w:val="22"/>
          <w:lang w:eastAsia="de-AT"/>
        </w:rPr>
        <w:t>ausgeprägtem Hochtonhörverlust mit geringer Hörminderung im Tief- und Mitteltonbereich</w:t>
      </w:r>
    </w:p>
    <w:p w:rsidR="0072610D" w:rsidRPr="0072610D" w:rsidRDefault="0072610D" w:rsidP="0072610D">
      <w:pPr>
        <w:numPr>
          <w:ilvl w:val="0"/>
          <w:numId w:val="1"/>
        </w:numPr>
        <w:autoSpaceDE w:val="0"/>
        <w:autoSpaceDN w:val="0"/>
        <w:spacing w:line="276" w:lineRule="auto"/>
        <w:jc w:val="both"/>
        <w:rPr>
          <w:rFonts w:ascii="Arial" w:hAnsi="Arial" w:cs="Arial"/>
          <w:sz w:val="22"/>
          <w:szCs w:val="22"/>
          <w:lang w:eastAsia="de-AT"/>
        </w:rPr>
      </w:pPr>
      <w:r w:rsidRPr="0072610D">
        <w:rPr>
          <w:rFonts w:ascii="Arial" w:hAnsi="Arial" w:cs="Arial"/>
          <w:sz w:val="22"/>
          <w:szCs w:val="22"/>
          <w:lang w:eastAsia="de-AT"/>
        </w:rPr>
        <w:t>Schallleitungs- und kombinierten Schwerhörigkeiten infolge von Krankheiten wie chronischer Mittelohrentzündung</w:t>
      </w:r>
    </w:p>
    <w:p w:rsidR="0072610D" w:rsidRPr="0072610D" w:rsidRDefault="0072610D" w:rsidP="0072610D">
      <w:pPr>
        <w:numPr>
          <w:ilvl w:val="0"/>
          <w:numId w:val="1"/>
        </w:numPr>
        <w:autoSpaceDE w:val="0"/>
        <w:autoSpaceDN w:val="0"/>
        <w:spacing w:line="276" w:lineRule="auto"/>
        <w:jc w:val="both"/>
        <w:rPr>
          <w:rFonts w:ascii="Arial" w:hAnsi="Arial" w:cs="Arial"/>
          <w:sz w:val="22"/>
          <w:szCs w:val="22"/>
          <w:lang w:eastAsia="de-AT"/>
        </w:rPr>
      </w:pPr>
      <w:r w:rsidRPr="0072610D">
        <w:rPr>
          <w:rFonts w:ascii="Arial" w:hAnsi="Arial" w:cs="Arial"/>
          <w:sz w:val="22"/>
          <w:szCs w:val="22"/>
          <w:lang w:eastAsia="de-AT"/>
        </w:rPr>
        <w:t>Tragekomfort und soziale Aspekte</w:t>
      </w:r>
    </w:p>
    <w:p w:rsidR="0072610D" w:rsidRPr="0072610D" w:rsidRDefault="0072610D" w:rsidP="0072610D">
      <w:pPr>
        <w:pStyle w:val="Listenabsatz"/>
        <w:autoSpaceDE w:val="0"/>
        <w:autoSpaceDN w:val="0"/>
        <w:spacing w:line="276" w:lineRule="auto"/>
        <w:jc w:val="both"/>
        <w:rPr>
          <w:rFonts w:ascii="Arial" w:hAnsi="Arial" w:cs="Arial"/>
          <w:lang w:eastAsia="de-AT"/>
        </w:rPr>
      </w:pPr>
    </w:p>
    <w:p w:rsidR="0072610D" w:rsidRPr="0072610D" w:rsidRDefault="0072610D" w:rsidP="0072610D">
      <w:pPr>
        <w:autoSpaceDE w:val="0"/>
        <w:autoSpaceDN w:val="0"/>
        <w:spacing w:line="276" w:lineRule="auto"/>
        <w:jc w:val="both"/>
        <w:rPr>
          <w:rFonts w:ascii="Arial" w:hAnsi="Arial" w:cs="Arial"/>
          <w:b/>
          <w:bCs/>
          <w:sz w:val="22"/>
          <w:szCs w:val="22"/>
          <w:lang w:eastAsia="de-AT"/>
        </w:rPr>
      </w:pPr>
      <w:r w:rsidRPr="0072610D">
        <w:rPr>
          <w:rFonts w:ascii="Arial" w:hAnsi="Arial" w:cs="Arial"/>
          <w:b/>
          <w:bCs/>
          <w:sz w:val="22"/>
          <w:szCs w:val="22"/>
          <w:lang w:eastAsia="de-AT"/>
        </w:rPr>
        <w:t>Schädelknochenimplantate</w:t>
      </w:r>
    </w:p>
    <w:p w:rsidR="0072610D" w:rsidRPr="0072610D" w:rsidRDefault="0072610D" w:rsidP="0072610D">
      <w:pPr>
        <w:autoSpaceDE w:val="0"/>
        <w:autoSpaceDN w:val="0"/>
        <w:spacing w:line="276" w:lineRule="auto"/>
        <w:jc w:val="both"/>
        <w:rPr>
          <w:rFonts w:ascii="Arial" w:hAnsi="Arial" w:cs="Arial"/>
          <w:sz w:val="22"/>
          <w:szCs w:val="22"/>
          <w:lang w:eastAsia="de-AT"/>
        </w:rPr>
      </w:pPr>
      <w:r w:rsidRPr="0072610D">
        <w:rPr>
          <w:rFonts w:ascii="Arial" w:hAnsi="Arial" w:cs="Arial"/>
          <w:sz w:val="22"/>
          <w:szCs w:val="22"/>
          <w:lang w:eastAsia="de-AT"/>
        </w:rPr>
        <w:t>Darunter versteht man teilimplantierte Hörgeräte, die auf dem Prinzip der Knochenleitung beruhen, also das Signal direkt auf den Knochen übertragen. Der Schall wird nicht über d</w:t>
      </w:r>
      <w:r w:rsidR="00704B42">
        <w:rPr>
          <w:rFonts w:ascii="Arial" w:hAnsi="Arial" w:cs="Arial"/>
          <w:sz w:val="22"/>
          <w:szCs w:val="22"/>
          <w:lang w:eastAsia="de-AT"/>
        </w:rPr>
        <w:t>ie Luft im Gehörgang übertragen</w:t>
      </w:r>
      <w:r w:rsidRPr="0072610D">
        <w:rPr>
          <w:rFonts w:ascii="Arial" w:hAnsi="Arial" w:cs="Arial"/>
          <w:sz w:val="22"/>
          <w:szCs w:val="22"/>
          <w:lang w:eastAsia="de-AT"/>
        </w:rPr>
        <w:t xml:space="preserve"> sondern über den Knochen zum Innenohr geleitet. Das in Schwingungen versetzte Innenohr kann der Schwerhörige als Schallinformation wahrnehmen. Voraussetzungen sind ein funktionierendes Innenohr und ein funktionierender Hörnerv </w:t>
      </w:r>
      <w:r w:rsidR="00704B42">
        <w:rPr>
          <w:rFonts w:ascii="Arial" w:hAnsi="Arial" w:cs="Arial"/>
          <w:sz w:val="22"/>
          <w:szCs w:val="22"/>
          <w:lang w:eastAsia="de-AT"/>
        </w:rPr>
        <w:t>sowie</w:t>
      </w:r>
      <w:r w:rsidRPr="0072610D">
        <w:rPr>
          <w:rFonts w:ascii="Arial" w:hAnsi="Arial" w:cs="Arial"/>
          <w:sz w:val="22"/>
          <w:szCs w:val="22"/>
          <w:lang w:eastAsia="de-AT"/>
        </w:rPr>
        <w:t xml:space="preserve"> ein Mindestalter von 5 Jahren. Auf Knochenleitsysteme wird bei besonderen Erkrankungen des Ohres, etwa bei einem nicht vorhandenen Gehörgang bei ansonsten normalem Aufbau des Ohres, zurückgegriffen. Eine weitere Indikation </w:t>
      </w:r>
      <w:proofErr w:type="gramStart"/>
      <w:r w:rsidRPr="0072610D">
        <w:rPr>
          <w:rFonts w:ascii="Arial" w:hAnsi="Arial" w:cs="Arial"/>
          <w:sz w:val="22"/>
          <w:szCs w:val="22"/>
          <w:lang w:eastAsia="de-AT"/>
        </w:rPr>
        <w:t>sind</w:t>
      </w:r>
      <w:proofErr w:type="gramEnd"/>
      <w:r w:rsidRPr="0072610D">
        <w:rPr>
          <w:rFonts w:ascii="Arial" w:hAnsi="Arial" w:cs="Arial"/>
          <w:sz w:val="22"/>
          <w:szCs w:val="22"/>
          <w:lang w:eastAsia="de-AT"/>
        </w:rPr>
        <w:t xml:space="preserve"> Hörstörung bei chronische</w:t>
      </w:r>
      <w:r w:rsidR="00704B42">
        <w:rPr>
          <w:rFonts w:ascii="Arial" w:hAnsi="Arial" w:cs="Arial"/>
          <w:sz w:val="22"/>
          <w:szCs w:val="22"/>
          <w:lang w:eastAsia="de-AT"/>
        </w:rPr>
        <w:t>n</w:t>
      </w:r>
      <w:r w:rsidRPr="0072610D">
        <w:rPr>
          <w:rFonts w:ascii="Arial" w:hAnsi="Arial" w:cs="Arial"/>
          <w:sz w:val="22"/>
          <w:szCs w:val="22"/>
          <w:lang w:eastAsia="de-AT"/>
        </w:rPr>
        <w:t xml:space="preserve"> Mittelohrerkrankungen, die nicht durch eine konventionelle Mittelohroperation behoben werden können. </w:t>
      </w:r>
    </w:p>
    <w:p w:rsidR="0072610D" w:rsidRPr="0072610D" w:rsidRDefault="0072610D" w:rsidP="0072610D">
      <w:pPr>
        <w:autoSpaceDE w:val="0"/>
        <w:autoSpaceDN w:val="0"/>
        <w:spacing w:line="276" w:lineRule="auto"/>
        <w:jc w:val="both"/>
        <w:rPr>
          <w:rFonts w:ascii="Arial" w:hAnsi="Arial" w:cs="Arial"/>
          <w:sz w:val="22"/>
          <w:szCs w:val="22"/>
          <w:lang w:eastAsia="de-AT"/>
        </w:rPr>
      </w:pPr>
      <w:r w:rsidRPr="0072610D">
        <w:rPr>
          <w:rFonts w:ascii="Arial" w:hAnsi="Arial" w:cs="Arial"/>
          <w:sz w:val="22"/>
          <w:szCs w:val="22"/>
          <w:lang w:eastAsia="de-AT"/>
        </w:rPr>
        <w:t xml:space="preserve">Ein Schädelknochenimplantat, das für Schallleitungsstörungen und für gering- bis mittelgradige kombinierte Schwerhörigkeit eingesetzt werden kann, ist die </w:t>
      </w:r>
      <w:proofErr w:type="spellStart"/>
      <w:r w:rsidRPr="0072610D">
        <w:rPr>
          <w:rFonts w:ascii="Arial" w:hAnsi="Arial" w:cs="Arial"/>
          <w:sz w:val="22"/>
          <w:szCs w:val="22"/>
          <w:lang w:eastAsia="de-AT"/>
        </w:rPr>
        <w:t>Bonebridge</w:t>
      </w:r>
      <w:proofErr w:type="spellEnd"/>
      <w:r w:rsidRPr="0072610D">
        <w:rPr>
          <w:rFonts w:ascii="Arial" w:hAnsi="Arial" w:cs="Arial"/>
          <w:sz w:val="22"/>
          <w:szCs w:val="22"/>
          <w:lang w:eastAsia="de-AT"/>
        </w:rPr>
        <w:t xml:space="preserve"> (Knochenbrücke). Dieses aktive Knochenleitungs-</w:t>
      </w:r>
      <w:proofErr w:type="spellStart"/>
      <w:r w:rsidRPr="0072610D">
        <w:rPr>
          <w:rFonts w:ascii="Arial" w:hAnsi="Arial" w:cs="Arial"/>
          <w:sz w:val="22"/>
          <w:szCs w:val="22"/>
          <w:lang w:eastAsia="de-AT"/>
        </w:rPr>
        <w:t>Implantatsystem</w:t>
      </w:r>
      <w:proofErr w:type="spellEnd"/>
      <w:r w:rsidRPr="0072610D">
        <w:rPr>
          <w:rFonts w:ascii="Arial" w:hAnsi="Arial" w:cs="Arial"/>
          <w:sz w:val="22"/>
          <w:szCs w:val="22"/>
          <w:lang w:eastAsia="de-AT"/>
        </w:rPr>
        <w:t xml:space="preserve"> setzt sich aus zwei Komponenten zusammen: dem Implantat, das vollständig unter der Kopfhaut hinter dem Ohr in den Schädelknochen eingesetzt wird, und dem Audioprozessor, der am Kopf getragen und durch einen Magneten am Implantat gehalten wird. Die Schallaufnahme erfolgt, wie beim Mittelohrimplantat, über den externen Audioprozessor, der die Information in verstärkter Form induktiv an das Implantat überträgt.</w:t>
      </w:r>
    </w:p>
    <w:p w:rsidR="0072610D" w:rsidRPr="0072610D" w:rsidRDefault="0072610D" w:rsidP="0072610D">
      <w:pPr>
        <w:autoSpaceDE w:val="0"/>
        <w:autoSpaceDN w:val="0"/>
        <w:spacing w:line="276" w:lineRule="auto"/>
        <w:jc w:val="both"/>
        <w:rPr>
          <w:rFonts w:ascii="Arial" w:hAnsi="Arial" w:cs="Arial"/>
          <w:sz w:val="22"/>
          <w:szCs w:val="22"/>
          <w:lang w:eastAsia="de-AT"/>
        </w:rPr>
      </w:pPr>
    </w:p>
    <w:p w:rsidR="0072610D" w:rsidRPr="0072610D" w:rsidRDefault="0072610D" w:rsidP="0072610D">
      <w:pPr>
        <w:autoSpaceDE w:val="0"/>
        <w:autoSpaceDN w:val="0"/>
        <w:spacing w:line="276" w:lineRule="auto"/>
        <w:jc w:val="both"/>
        <w:rPr>
          <w:rFonts w:ascii="Arial" w:hAnsi="Arial" w:cs="Arial"/>
          <w:b/>
          <w:bCs/>
          <w:sz w:val="22"/>
          <w:szCs w:val="22"/>
          <w:lang w:eastAsia="de-AT"/>
        </w:rPr>
      </w:pPr>
      <w:r w:rsidRPr="0072610D">
        <w:rPr>
          <w:rFonts w:ascii="Arial" w:hAnsi="Arial" w:cs="Arial"/>
          <w:b/>
          <w:bCs/>
          <w:sz w:val="22"/>
          <w:szCs w:val="22"/>
          <w:lang w:eastAsia="de-AT"/>
        </w:rPr>
        <w:t>Mittelohrimplantate</w:t>
      </w:r>
    </w:p>
    <w:p w:rsidR="0072610D" w:rsidRDefault="0072610D" w:rsidP="009175E1">
      <w:pPr>
        <w:autoSpaceDE w:val="0"/>
        <w:autoSpaceDN w:val="0"/>
        <w:spacing w:line="276" w:lineRule="auto"/>
        <w:jc w:val="both"/>
        <w:rPr>
          <w:rFonts w:ascii="Arial" w:hAnsi="Arial" w:cs="Arial"/>
          <w:sz w:val="22"/>
          <w:szCs w:val="22"/>
        </w:rPr>
      </w:pPr>
      <w:r w:rsidRPr="0072610D">
        <w:rPr>
          <w:rFonts w:ascii="Arial" w:hAnsi="Arial" w:cs="Arial"/>
          <w:sz w:val="22"/>
          <w:szCs w:val="22"/>
          <w:lang w:eastAsia="de-AT"/>
        </w:rPr>
        <w:t>Bei</w:t>
      </w:r>
      <w:bookmarkStart w:id="0" w:name="_GoBack"/>
      <w:bookmarkEnd w:id="0"/>
      <w:r w:rsidRPr="0072610D">
        <w:rPr>
          <w:rFonts w:ascii="Arial" w:hAnsi="Arial" w:cs="Arial"/>
          <w:sz w:val="22"/>
          <w:szCs w:val="22"/>
          <w:lang w:eastAsia="de-AT"/>
        </w:rPr>
        <w:t xml:space="preserve"> "aktiven Mittelohrimplantaten" wird ein sehr kleiner Hochleistungsvibrator in das Mittelohr in einem operativen Eingriff implantiert. Sie werden bei Erwachsenen eingesetzt, wenn konventionelle Hörgeräte aufgrund von Außen- und Mittelohrmissbildungen oder Allergien auf Hörgerätematerialien nicht zum Einsatz kommen können. Da der äußere Gehörgang offen bleibt, kommen aktive Mittelohrimplantate auch bei Patienten mit wiederkehrenden </w:t>
      </w:r>
      <w:proofErr w:type="spellStart"/>
      <w:r w:rsidRPr="0072610D">
        <w:rPr>
          <w:rFonts w:ascii="Arial" w:hAnsi="Arial" w:cs="Arial"/>
          <w:sz w:val="22"/>
          <w:szCs w:val="22"/>
          <w:lang w:eastAsia="de-AT"/>
        </w:rPr>
        <w:t>Gehörgangsentzündungen</w:t>
      </w:r>
      <w:proofErr w:type="spellEnd"/>
      <w:r w:rsidRPr="0072610D">
        <w:rPr>
          <w:rFonts w:ascii="Arial" w:hAnsi="Arial" w:cs="Arial"/>
          <w:sz w:val="22"/>
          <w:szCs w:val="22"/>
          <w:lang w:eastAsia="de-AT"/>
        </w:rPr>
        <w:t xml:space="preserve"> oder einem ausgeprägten Okklusionseffekt (unangenehme Schallblockierung durch Hörgeräte) infrage. Diese kleinen mechanischen Verstärker können sogar bei einem völligen Verlust aller Gehörknöchelchen implantiert werden. Sie werden dann an das sogenannte ovale Fenster (beim Steigbügel) oder in das runde Fenster der Hörschnecke angekoppelt.</w:t>
      </w:r>
    </w:p>
    <w:sectPr w:rsidR="0072610D" w:rsidSect="009175E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35pt;height:94pt" o:bullet="t">
        <v:imagedata r:id="rId1" o:title="Button"/>
      </v:shape>
    </w:pict>
  </w:numPicBullet>
  <w:abstractNum w:abstractNumId="0" w15:restartNumberingAfterBreak="0">
    <w:nsid w:val="6CC50824"/>
    <w:multiLevelType w:val="hybridMultilevel"/>
    <w:tmpl w:val="0D98FEB2"/>
    <w:lvl w:ilvl="0" w:tplc="97A65AB8">
      <w:start w:val="1"/>
      <w:numFmt w:val="bullet"/>
      <w:lvlText w:val=""/>
      <w:lvlPicBulletId w:val="0"/>
      <w:lvlJc w:val="left"/>
      <w:pPr>
        <w:tabs>
          <w:tab w:val="num" w:pos="360"/>
        </w:tabs>
        <w:ind w:left="360" w:hanging="360"/>
      </w:pPr>
      <w:rPr>
        <w:rFonts w:ascii="Symbol" w:hAnsi="Symbol" w:hint="default"/>
      </w:rPr>
    </w:lvl>
    <w:lvl w:ilvl="1" w:tplc="D66CA100">
      <w:start w:val="1"/>
      <w:numFmt w:val="bullet"/>
      <w:lvlText w:val=""/>
      <w:lvlPicBulletId w:val="0"/>
      <w:lvlJc w:val="left"/>
      <w:pPr>
        <w:tabs>
          <w:tab w:val="num" w:pos="1080"/>
        </w:tabs>
        <w:ind w:left="1080" w:hanging="360"/>
      </w:pPr>
      <w:rPr>
        <w:rFonts w:ascii="Symbol" w:hAnsi="Symbol" w:hint="default"/>
      </w:rPr>
    </w:lvl>
    <w:lvl w:ilvl="2" w:tplc="119A7EEC">
      <w:start w:val="1"/>
      <w:numFmt w:val="bullet"/>
      <w:lvlText w:val=""/>
      <w:lvlPicBulletId w:val="0"/>
      <w:lvlJc w:val="left"/>
      <w:pPr>
        <w:tabs>
          <w:tab w:val="num" w:pos="1800"/>
        </w:tabs>
        <w:ind w:left="1800" w:hanging="360"/>
      </w:pPr>
      <w:rPr>
        <w:rFonts w:ascii="Symbol" w:hAnsi="Symbol" w:hint="default"/>
      </w:rPr>
    </w:lvl>
    <w:lvl w:ilvl="3" w:tplc="83BEA564">
      <w:start w:val="1"/>
      <w:numFmt w:val="bullet"/>
      <w:lvlText w:val=""/>
      <w:lvlPicBulletId w:val="0"/>
      <w:lvlJc w:val="left"/>
      <w:pPr>
        <w:tabs>
          <w:tab w:val="num" w:pos="2520"/>
        </w:tabs>
        <w:ind w:left="2520" w:hanging="360"/>
      </w:pPr>
      <w:rPr>
        <w:rFonts w:ascii="Symbol" w:hAnsi="Symbol" w:hint="default"/>
      </w:rPr>
    </w:lvl>
    <w:lvl w:ilvl="4" w:tplc="5B80A880" w:tentative="1">
      <w:start w:val="1"/>
      <w:numFmt w:val="bullet"/>
      <w:lvlText w:val=""/>
      <w:lvlPicBulletId w:val="0"/>
      <w:lvlJc w:val="left"/>
      <w:pPr>
        <w:tabs>
          <w:tab w:val="num" w:pos="3240"/>
        </w:tabs>
        <w:ind w:left="3240" w:hanging="360"/>
      </w:pPr>
      <w:rPr>
        <w:rFonts w:ascii="Symbol" w:hAnsi="Symbol" w:hint="default"/>
      </w:rPr>
    </w:lvl>
    <w:lvl w:ilvl="5" w:tplc="C8FE706A" w:tentative="1">
      <w:start w:val="1"/>
      <w:numFmt w:val="bullet"/>
      <w:lvlText w:val=""/>
      <w:lvlPicBulletId w:val="0"/>
      <w:lvlJc w:val="left"/>
      <w:pPr>
        <w:tabs>
          <w:tab w:val="num" w:pos="3960"/>
        </w:tabs>
        <w:ind w:left="3960" w:hanging="360"/>
      </w:pPr>
      <w:rPr>
        <w:rFonts w:ascii="Symbol" w:hAnsi="Symbol" w:hint="default"/>
      </w:rPr>
    </w:lvl>
    <w:lvl w:ilvl="6" w:tplc="1A7666A8" w:tentative="1">
      <w:start w:val="1"/>
      <w:numFmt w:val="bullet"/>
      <w:lvlText w:val=""/>
      <w:lvlPicBulletId w:val="0"/>
      <w:lvlJc w:val="left"/>
      <w:pPr>
        <w:tabs>
          <w:tab w:val="num" w:pos="4680"/>
        </w:tabs>
        <w:ind w:left="4680" w:hanging="360"/>
      </w:pPr>
      <w:rPr>
        <w:rFonts w:ascii="Symbol" w:hAnsi="Symbol" w:hint="default"/>
      </w:rPr>
    </w:lvl>
    <w:lvl w:ilvl="7" w:tplc="AB3463B8" w:tentative="1">
      <w:start w:val="1"/>
      <w:numFmt w:val="bullet"/>
      <w:lvlText w:val=""/>
      <w:lvlPicBulletId w:val="0"/>
      <w:lvlJc w:val="left"/>
      <w:pPr>
        <w:tabs>
          <w:tab w:val="num" w:pos="5400"/>
        </w:tabs>
        <w:ind w:left="5400" w:hanging="360"/>
      </w:pPr>
      <w:rPr>
        <w:rFonts w:ascii="Symbol" w:hAnsi="Symbol" w:hint="default"/>
      </w:rPr>
    </w:lvl>
    <w:lvl w:ilvl="8" w:tplc="21122AA6" w:tentative="1">
      <w:start w:val="1"/>
      <w:numFmt w:val="bullet"/>
      <w:lvlText w:val=""/>
      <w:lvlPicBulletId w:val="0"/>
      <w:lvlJc w:val="left"/>
      <w:pPr>
        <w:tabs>
          <w:tab w:val="num" w:pos="6120"/>
        </w:tabs>
        <w:ind w:left="6120" w:hanging="360"/>
      </w:pPr>
      <w:rPr>
        <w:rFonts w:ascii="Symbol" w:hAnsi="Symbol" w:hint="default"/>
      </w:rPr>
    </w:lvl>
  </w:abstractNum>
  <w:abstractNum w:abstractNumId="1" w15:restartNumberingAfterBreak="0">
    <w:nsid w:val="73362251"/>
    <w:multiLevelType w:val="hybridMultilevel"/>
    <w:tmpl w:val="87FA00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6B"/>
    <w:rsid w:val="000B2FA8"/>
    <w:rsid w:val="0010245A"/>
    <w:rsid w:val="00115B85"/>
    <w:rsid w:val="00137A34"/>
    <w:rsid w:val="00193C99"/>
    <w:rsid w:val="001D2E09"/>
    <w:rsid w:val="0030013C"/>
    <w:rsid w:val="0034696B"/>
    <w:rsid w:val="00354BB2"/>
    <w:rsid w:val="0047668C"/>
    <w:rsid w:val="004810DA"/>
    <w:rsid w:val="004A3D7D"/>
    <w:rsid w:val="004F5365"/>
    <w:rsid w:val="00633780"/>
    <w:rsid w:val="006F5F50"/>
    <w:rsid w:val="00704B42"/>
    <w:rsid w:val="0072610D"/>
    <w:rsid w:val="007D2E9A"/>
    <w:rsid w:val="0088540A"/>
    <w:rsid w:val="009175E1"/>
    <w:rsid w:val="009F4FFA"/>
    <w:rsid w:val="00A71345"/>
    <w:rsid w:val="00B83F16"/>
    <w:rsid w:val="00BD15F1"/>
    <w:rsid w:val="00BD6B93"/>
    <w:rsid w:val="00C6382D"/>
    <w:rsid w:val="00C84A26"/>
    <w:rsid w:val="00CA5B55"/>
    <w:rsid w:val="00DA6801"/>
    <w:rsid w:val="00EB01FE"/>
    <w:rsid w:val="00F000C1"/>
    <w:rsid w:val="00FC19D6"/>
    <w:rsid w:val="00FC6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CB5DF88-23F0-4E09-B757-B56E9A00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696B"/>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2E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2E9A"/>
    <w:rPr>
      <w:rFonts w:ascii="Segoe UI" w:hAnsi="Segoe UI" w:cs="Segoe UI"/>
      <w:sz w:val="18"/>
      <w:szCs w:val="18"/>
      <w:lang w:eastAsia="de-DE"/>
    </w:rPr>
  </w:style>
  <w:style w:type="paragraph" w:styleId="Listenabsatz">
    <w:name w:val="List Paragraph"/>
    <w:basedOn w:val="Standard"/>
    <w:uiPriority w:val="34"/>
    <w:qFormat/>
    <w:rsid w:val="0072610D"/>
    <w:pPr>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711823">
      <w:bodyDiv w:val="1"/>
      <w:marLeft w:val="0"/>
      <w:marRight w:val="0"/>
      <w:marTop w:val="0"/>
      <w:marBottom w:val="0"/>
      <w:divBdr>
        <w:top w:val="none" w:sz="0" w:space="0" w:color="auto"/>
        <w:left w:val="none" w:sz="0" w:space="0" w:color="auto"/>
        <w:bottom w:val="none" w:sz="0" w:space="0" w:color="auto"/>
        <w:right w:val="none" w:sz="0" w:space="0" w:color="auto"/>
      </w:divBdr>
    </w:div>
    <w:div w:id="21282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Braunstorfer</dc:creator>
  <cp:lastModifiedBy>Michael Leitner</cp:lastModifiedBy>
  <cp:revision>5</cp:revision>
  <cp:lastPrinted>2015-09-04T10:51:00Z</cp:lastPrinted>
  <dcterms:created xsi:type="dcterms:W3CDTF">2017-08-31T11:02:00Z</dcterms:created>
  <dcterms:modified xsi:type="dcterms:W3CDTF">2017-09-11T12:24:00Z</dcterms:modified>
</cp:coreProperties>
</file>