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A32EF" w14:textId="5127BCA8" w:rsidR="00000AEF" w:rsidRPr="00000AEF" w:rsidRDefault="00000AEF" w:rsidP="00000AEF">
      <w:pPr>
        <w:rPr>
          <w:lang w:val="de-DE"/>
        </w:rPr>
      </w:pPr>
      <w:r w:rsidRPr="00000AEF">
        <w:rPr>
          <w:b/>
          <w:bCs/>
          <w:sz w:val="24"/>
          <w:szCs w:val="24"/>
          <w:u w:val="single"/>
        </w:rPr>
        <w:t>Statement</w:t>
      </w:r>
      <w:r>
        <w:rPr>
          <w:b/>
          <w:bCs/>
          <w:sz w:val="24"/>
          <w:szCs w:val="24"/>
          <w:u w:val="single"/>
        </w:rPr>
        <w:t>blatt</w:t>
      </w:r>
      <w:bookmarkStart w:id="0" w:name="_GoBack"/>
      <w:bookmarkEnd w:id="0"/>
      <w:r w:rsidR="00B029AD">
        <w:t xml:space="preserve"> </w:t>
      </w:r>
      <w:r>
        <w:br/>
      </w:r>
      <w:r w:rsidR="005668B8" w:rsidRPr="00000AEF">
        <w:rPr>
          <w:b/>
          <w:bCs/>
          <w:u w:val="single"/>
          <w:lang w:val="de-DE"/>
        </w:rPr>
        <w:t xml:space="preserve">Univ.-Prof. Dr. Clemens </w:t>
      </w:r>
      <w:proofErr w:type="spellStart"/>
      <w:r w:rsidR="005668B8" w:rsidRPr="00000AEF">
        <w:rPr>
          <w:b/>
          <w:bCs/>
          <w:u w:val="single"/>
          <w:lang w:val="de-DE"/>
        </w:rPr>
        <w:t>Vass</w:t>
      </w:r>
      <w:proofErr w:type="spellEnd"/>
      <w:r w:rsidRPr="00000AEF">
        <w:rPr>
          <w:b/>
          <w:bCs/>
          <w:u w:val="single"/>
          <w:lang w:val="de-DE"/>
        </w:rPr>
        <w:t>,</w:t>
      </w:r>
      <w:r>
        <w:rPr>
          <w:b/>
          <w:bCs/>
          <w:lang w:val="de-DE"/>
        </w:rPr>
        <w:t xml:space="preserve"> </w:t>
      </w:r>
      <w:r>
        <w:rPr>
          <w:lang w:val="de-DE"/>
        </w:rPr>
        <w:t xml:space="preserve">Leiter der </w:t>
      </w:r>
      <w:proofErr w:type="spellStart"/>
      <w:r>
        <w:rPr>
          <w:lang w:val="de-DE"/>
        </w:rPr>
        <w:t>Glaukomambulanz</w:t>
      </w:r>
      <w:proofErr w:type="spellEnd"/>
      <w:r>
        <w:rPr>
          <w:lang w:val="de-DE"/>
        </w:rPr>
        <w:t xml:space="preserve"> der Universitätsklinik für Augenheilkunde und Optometrie, AKH Wien</w:t>
      </w:r>
    </w:p>
    <w:p w14:paraId="5816F7E7" w14:textId="77777777" w:rsidR="00CC3402" w:rsidRDefault="00CC3402" w:rsidP="00000AEF">
      <w:r>
        <w:t xml:space="preserve">Das Glaukom ist eine Erkrankung </w:t>
      </w:r>
      <w:proofErr w:type="gramStart"/>
      <w:r>
        <w:t>des Sehnerven</w:t>
      </w:r>
      <w:proofErr w:type="gramEnd"/>
      <w:r>
        <w:t>, zu der ein erhöhter Augendruck wesentlich beiträgt. Von dem schleichend über zumeist viele Jahre hinweg zunehmenden Schaden bemerken die Patienten typischerweise bis in fortgeschrittene Krankheitsstadien nichts. Wenn dann schließlich Beschwerden auftreten sind diese nicht mehr heilbar.</w:t>
      </w:r>
    </w:p>
    <w:p w14:paraId="043141AC" w14:textId="77777777" w:rsidR="00647A79" w:rsidRDefault="00647A79" w:rsidP="00000AEF">
      <w:r w:rsidRPr="00647A79">
        <w:t>N</w:t>
      </w:r>
      <w:r>
        <w:t>eben der Entwicklung konservierungsmittelfreie</w:t>
      </w:r>
      <w:r w:rsidR="003227FF">
        <w:t>r</w:t>
      </w:r>
      <w:r>
        <w:t xml:space="preserve"> Augentropfen, hat es in den letzten Jahren besonders in zwei Bereichen wesentliche Innovationen gegeben, 1) </w:t>
      </w:r>
      <w:r w:rsidR="00CC3402">
        <w:t xml:space="preserve">bei </w:t>
      </w:r>
      <w:r>
        <w:t>den bildgebenden diagnostischen Verfahren, und 2) bei den chirurgischen Therapien des Glaukoms.</w:t>
      </w:r>
    </w:p>
    <w:p w14:paraId="70B11469" w14:textId="77777777" w:rsidR="00647A79" w:rsidRDefault="00CC3402" w:rsidP="00000AEF">
      <w:r>
        <w:t>Die</w:t>
      </w:r>
      <w:r w:rsidR="00647A79">
        <w:t xml:space="preserve"> OCT Untersuchung mit hochauflösenden Geräten (OCT steht für Optische </w:t>
      </w:r>
      <w:proofErr w:type="spellStart"/>
      <w:r w:rsidR="00647A79">
        <w:t>Cohärenz</w:t>
      </w:r>
      <w:proofErr w:type="spellEnd"/>
      <w:r w:rsidR="00647A79">
        <w:t xml:space="preserve"> Tomographie) </w:t>
      </w:r>
      <w:r>
        <w:t>ermöglicht</w:t>
      </w:r>
      <w:r w:rsidR="00647A79">
        <w:t xml:space="preserve"> </w:t>
      </w:r>
      <w:r w:rsidR="00272E37">
        <w:t>eine genaue Vermessung des Sehnerven</w:t>
      </w:r>
      <w:r>
        <w:t xml:space="preserve"> und</w:t>
      </w:r>
      <w:r w:rsidR="00272E37">
        <w:t xml:space="preserve"> der Nervenfaserschicht der Netzhaut. Diese Untersuchung kann man sich wie einen optische</w:t>
      </w:r>
      <w:r>
        <w:t>n</w:t>
      </w:r>
      <w:r w:rsidR="00272E37">
        <w:t xml:space="preserve"> Ultraschall vorstellen, mit dem Messungen am Augenhintergrund gemacht werden können. Die OCT erfolgt berührungsfrei ohne Belastung de</w:t>
      </w:r>
      <w:r>
        <w:t>r</w:t>
      </w:r>
      <w:r w:rsidR="00272E37">
        <w:t xml:space="preserve"> Patienten, ist höchst präzise und für Verlaufsbeobachtungen </w:t>
      </w:r>
      <w:r w:rsidR="004B6E6D">
        <w:t>von Patienten von unschätzbarem Wert</w:t>
      </w:r>
      <w:r w:rsidR="00272E37">
        <w:t xml:space="preserve">. Trotz der großen Messgenauigkeit bereitet </w:t>
      </w:r>
      <w:r w:rsidR="004B6E6D">
        <w:t xml:space="preserve">jedoch </w:t>
      </w:r>
      <w:r>
        <w:t xml:space="preserve">mitunter </w:t>
      </w:r>
      <w:r w:rsidR="00272E37">
        <w:t xml:space="preserve">die Abgrenzung zwischen Gesunden </w:t>
      </w:r>
      <w:r>
        <w:t>und</w:t>
      </w:r>
      <w:r w:rsidR="00272E37">
        <w:t xml:space="preserve"> Patienten mit frühen Stadien von Glaukom noch Schwierigkeiten. In diesem Bereich sind wir in Österreich und speziell auch an der Medizinischen Universität Wien forschungsmäßig aktiv</w:t>
      </w:r>
      <w:r w:rsidR="004B6E6D">
        <w:t>.</w:t>
      </w:r>
    </w:p>
    <w:p w14:paraId="5468F16F" w14:textId="7EEF67B7" w:rsidR="004B6E6D" w:rsidRDefault="00D65669" w:rsidP="00000AEF">
      <w:r>
        <w:t>Österreich hat sich auch bei der Erprobung neuer chirurgischer Verfahren an mehreren wissenschaftlichen Phase 3 Studien beteiligt. Neue miniaturisierte Drainageimplantate – man kann sich diese als Miniaturröhrchen vorstellen, durch die eine gerade passende Menge Kammerwasser aus de</w:t>
      </w:r>
      <w:r w:rsidR="00CC3402">
        <w:t xml:space="preserve">m Augapfel </w:t>
      </w:r>
      <w:r>
        <w:t xml:space="preserve">unter die Bindehaut abgeleitet wird. Aktuell werden </w:t>
      </w:r>
      <w:r w:rsidR="002C3101">
        <w:t xml:space="preserve">drei </w:t>
      </w:r>
      <w:r>
        <w:t>solche Implantate verwendet, der XEN Gel</w:t>
      </w:r>
      <w:r w:rsidR="00CC3402">
        <w:t xml:space="preserve"> S</w:t>
      </w:r>
      <w:r>
        <w:t>tent</w:t>
      </w:r>
      <w:r w:rsidR="002C3101">
        <w:t xml:space="preserve">, der </w:t>
      </w:r>
      <w:proofErr w:type="spellStart"/>
      <w:r w:rsidR="002C3101">
        <w:t>iStent</w:t>
      </w:r>
      <w:proofErr w:type="spellEnd"/>
      <w:r>
        <w:t xml:space="preserve"> und der </w:t>
      </w:r>
      <w:proofErr w:type="spellStart"/>
      <w:r>
        <w:t>Preserflo</w:t>
      </w:r>
      <w:proofErr w:type="spellEnd"/>
      <w:r>
        <w:t xml:space="preserve"> Microshunt. Mit </w:t>
      </w:r>
      <w:r w:rsidR="002C3101">
        <w:t xml:space="preserve">allen </w:t>
      </w:r>
      <w:r>
        <w:t>kann eine weitgehende Komplikationsarmut bei relativ guter Drucksenkung erreicht werden. Direkte Vergleiche zwischen den Implantaten fehlen noch.</w:t>
      </w:r>
    </w:p>
    <w:p w14:paraId="590321BD" w14:textId="23E1525B" w:rsidR="005668B8" w:rsidRDefault="0040436D" w:rsidP="00000AEF">
      <w:r>
        <w:t xml:space="preserve">Eine weitere sehr spannende Entwicklung befindet </w:t>
      </w:r>
      <w:r w:rsidR="002C3101">
        <w:t xml:space="preserve">sich im </w:t>
      </w:r>
      <w:r>
        <w:t>Grenzbereich zwischen medikamentöser und chirurgischer Therapie.</w:t>
      </w:r>
      <w:r w:rsidR="00D3162F">
        <w:t xml:space="preserve"> </w:t>
      </w:r>
      <w:r w:rsidR="00824837">
        <w:t xml:space="preserve">Hierbei handelt es sich um die Injektion eines </w:t>
      </w:r>
      <w:r>
        <w:t xml:space="preserve">kleinen </w:t>
      </w:r>
      <w:r w:rsidR="00824837">
        <w:t xml:space="preserve">Medikamentendepots in die vordere Augenkammer. </w:t>
      </w:r>
      <w:r>
        <w:t xml:space="preserve">Dort wird dann der Wirkstoff über mehrere Monate hinweg kontinuierlich freigesetzt womit eine langanhaltende Senkung des Augendruckes erreicht wird. Es wurden über 1100 Patienten in die Zulassungsstudie eingeschlossen und Österreich war hier ebenfalls mit zwei Studienzentren beteiligt. </w:t>
      </w:r>
      <w:r w:rsidR="00EB5F5B">
        <w:t xml:space="preserve">Nach 3 Injektionen im Abstand von jeweils 4 Monaten wiesen 80% der Patienten ein Jahr lang gute Augendruckwerte ohne Behandlung auf. Für Patienten denen die regelmäßige Anwendung von Augentropfen </w:t>
      </w:r>
      <w:r>
        <w:t>schwer fällt</w:t>
      </w:r>
      <w:r w:rsidR="00EB5F5B">
        <w:t xml:space="preserve"> oder unmöglich ist, wird sich hier möglicherweise eine neue Therapieoption zwischen den klassischen Augentropfen und den chirurgischen Verfahren öffnen.</w:t>
      </w:r>
      <w:r w:rsidR="006B62F8">
        <w:t xml:space="preserve"> Die Therapie befindet sich derzeit in den USA im Zulassungs</w:t>
      </w:r>
      <w:r w:rsidR="000E16BB">
        <w:t>prozess durch die FDA</w:t>
      </w:r>
      <w:r w:rsidR="006B62F8">
        <w:t>.</w:t>
      </w:r>
    </w:p>
    <w:p w14:paraId="68323782" w14:textId="77777777" w:rsidR="005668B8" w:rsidRDefault="005668B8" w:rsidP="00000AEF">
      <w:r>
        <w:t xml:space="preserve">Literatur: </w:t>
      </w:r>
    </w:p>
    <w:p w14:paraId="69886CFC" w14:textId="416AD9DB" w:rsidR="00460148" w:rsidRPr="00420F2A" w:rsidRDefault="00460148" w:rsidP="00000AEF">
      <w:pPr>
        <w:pStyle w:val="Listenabsatz"/>
        <w:numPr>
          <w:ilvl w:val="0"/>
          <w:numId w:val="1"/>
        </w:numPr>
        <w:rPr>
          <w:rFonts w:cstheme="minorHAnsi"/>
          <w:color w:val="000000"/>
          <w:shd w:val="clear" w:color="auto" w:fill="FFFFFF"/>
          <w:lang w:val="en-GB"/>
        </w:rPr>
      </w:pPr>
      <w:r w:rsidRPr="00460148">
        <w:rPr>
          <w:rFonts w:cstheme="minorHAnsi"/>
          <w:color w:val="000000"/>
          <w:shd w:val="clear" w:color="auto" w:fill="FFFFFF"/>
          <w:lang w:val="en-US"/>
        </w:rPr>
        <w:t xml:space="preserve">Craven, E.R., Walters, T., Christie, W.C. </w:t>
      </w:r>
      <w:r w:rsidRPr="00460148">
        <w:rPr>
          <w:rFonts w:cstheme="minorHAnsi"/>
          <w:i/>
          <w:iCs/>
          <w:color w:val="000000"/>
          <w:shd w:val="clear" w:color="auto" w:fill="FFFFFF"/>
          <w:lang w:val="en-US"/>
        </w:rPr>
        <w:t>et al.</w:t>
      </w:r>
      <w:r w:rsidRPr="00460148">
        <w:rPr>
          <w:rFonts w:cstheme="minorHAnsi"/>
          <w:color w:val="000000"/>
          <w:shd w:val="clear" w:color="auto" w:fill="FFFFFF"/>
          <w:lang w:val="en-US"/>
        </w:rPr>
        <w:t xml:space="preserve"> 24-Month Phase I/II Clinical Trial of </w:t>
      </w:r>
      <w:proofErr w:type="spellStart"/>
      <w:r w:rsidRPr="00460148">
        <w:rPr>
          <w:rFonts w:cstheme="minorHAnsi"/>
          <w:color w:val="000000"/>
          <w:shd w:val="clear" w:color="auto" w:fill="FFFFFF"/>
          <w:lang w:val="en-US"/>
        </w:rPr>
        <w:t>Bimatoprost</w:t>
      </w:r>
      <w:proofErr w:type="spellEnd"/>
      <w:r w:rsidRPr="00460148">
        <w:rPr>
          <w:rFonts w:cstheme="minorHAnsi"/>
          <w:color w:val="000000"/>
          <w:shd w:val="clear" w:color="auto" w:fill="FFFFFF"/>
          <w:lang w:val="en-US"/>
        </w:rPr>
        <w:t xml:space="preserve"> Sustained-Release Implant (</w:t>
      </w:r>
      <w:proofErr w:type="spellStart"/>
      <w:r w:rsidRPr="00460148">
        <w:rPr>
          <w:rFonts w:cstheme="minorHAnsi"/>
          <w:color w:val="000000"/>
          <w:shd w:val="clear" w:color="auto" w:fill="FFFFFF"/>
          <w:lang w:val="en-US"/>
        </w:rPr>
        <w:t>Bimatoprost</w:t>
      </w:r>
      <w:proofErr w:type="spellEnd"/>
      <w:r w:rsidRPr="00460148">
        <w:rPr>
          <w:rFonts w:cstheme="minorHAnsi"/>
          <w:color w:val="000000"/>
          <w:shd w:val="clear" w:color="auto" w:fill="FFFFFF"/>
          <w:lang w:val="en-US"/>
        </w:rPr>
        <w:t xml:space="preserve"> SR) in Glaucoma Patients. </w:t>
      </w:r>
      <w:r w:rsidRPr="00420F2A">
        <w:rPr>
          <w:rFonts w:cstheme="minorHAnsi"/>
          <w:i/>
          <w:iCs/>
          <w:color w:val="000000"/>
          <w:shd w:val="clear" w:color="auto" w:fill="FFFFFF"/>
          <w:lang w:val="en-GB"/>
        </w:rPr>
        <w:t>Drugs</w:t>
      </w:r>
      <w:r w:rsidRPr="00420F2A">
        <w:rPr>
          <w:rFonts w:cstheme="minorHAnsi"/>
          <w:color w:val="000000"/>
          <w:shd w:val="clear" w:color="auto" w:fill="FFFFFF"/>
          <w:lang w:val="en-GB"/>
        </w:rPr>
        <w:t xml:space="preserve"> </w:t>
      </w:r>
      <w:r w:rsidRPr="00420F2A">
        <w:rPr>
          <w:rFonts w:cstheme="minorHAnsi"/>
          <w:b/>
          <w:bCs/>
          <w:color w:val="000000"/>
          <w:shd w:val="clear" w:color="auto" w:fill="FFFFFF"/>
          <w:lang w:val="en-GB"/>
        </w:rPr>
        <w:t xml:space="preserve">80, </w:t>
      </w:r>
      <w:r w:rsidRPr="00420F2A">
        <w:rPr>
          <w:rFonts w:cstheme="minorHAnsi"/>
          <w:color w:val="000000"/>
          <w:shd w:val="clear" w:color="auto" w:fill="FFFFFF"/>
          <w:lang w:val="en-GB"/>
        </w:rPr>
        <w:t>167–179 (2020). https://doi.org/10.1007/s40265-019-01248-0</w:t>
      </w:r>
    </w:p>
    <w:p w14:paraId="31C9FBEE" w14:textId="3B34827F" w:rsidR="009E4F92" w:rsidRPr="00420F2A" w:rsidRDefault="00F064C3" w:rsidP="00000AEF">
      <w:pPr>
        <w:pStyle w:val="Listenabsatz"/>
        <w:numPr>
          <w:ilvl w:val="0"/>
          <w:numId w:val="1"/>
        </w:numPr>
        <w:rPr>
          <w:rFonts w:cstheme="minorHAnsi"/>
          <w:lang w:val="de-DE"/>
        </w:rPr>
      </w:pPr>
      <w:r w:rsidRPr="00420F2A">
        <w:rPr>
          <w:rFonts w:cstheme="minorHAnsi"/>
          <w:lang w:val="de-DE"/>
        </w:rPr>
        <w:t xml:space="preserve">Allergan Pressemitteilung: </w:t>
      </w:r>
      <w:r w:rsidRPr="00F064C3">
        <w:rPr>
          <w:rFonts w:cstheme="minorHAnsi"/>
        </w:rPr>
        <w:t>https://www.allergan.com/New</w:t>
      </w:r>
      <w:r w:rsidRPr="00420F2A">
        <w:rPr>
          <w:rFonts w:cstheme="minorHAnsi"/>
          <w:lang w:val="de-DE"/>
        </w:rPr>
        <w:t>/Details/2019/07/US%20FDA%20Accepts%20Allergans%20New%20Drug%20Application%20for%20Bimatoprost%20SustainedRelease%20in%20Patients%20with%20Open</w:t>
      </w:r>
    </w:p>
    <w:sectPr w:rsidR="009E4F92" w:rsidRPr="00420F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95E0D"/>
    <w:multiLevelType w:val="hybridMultilevel"/>
    <w:tmpl w:val="C1E054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B8"/>
    <w:rsid w:val="00000AEF"/>
    <w:rsid w:val="00067DB2"/>
    <w:rsid w:val="00084E39"/>
    <w:rsid w:val="00097E5F"/>
    <w:rsid w:val="000A39D4"/>
    <w:rsid w:val="000C1534"/>
    <w:rsid w:val="000D3947"/>
    <w:rsid w:val="000E16BB"/>
    <w:rsid w:val="000F05C7"/>
    <w:rsid w:val="001241F6"/>
    <w:rsid w:val="001D1E83"/>
    <w:rsid w:val="001E23D2"/>
    <w:rsid w:val="00272E37"/>
    <w:rsid w:val="002764BD"/>
    <w:rsid w:val="002C3101"/>
    <w:rsid w:val="002E234A"/>
    <w:rsid w:val="003227FF"/>
    <w:rsid w:val="00340986"/>
    <w:rsid w:val="00344E68"/>
    <w:rsid w:val="00393693"/>
    <w:rsid w:val="00397513"/>
    <w:rsid w:val="003A32CC"/>
    <w:rsid w:val="003D0614"/>
    <w:rsid w:val="0040436D"/>
    <w:rsid w:val="00420F2A"/>
    <w:rsid w:val="00424EA3"/>
    <w:rsid w:val="00437CD7"/>
    <w:rsid w:val="00460148"/>
    <w:rsid w:val="00473951"/>
    <w:rsid w:val="004B6E6D"/>
    <w:rsid w:val="004D6DC8"/>
    <w:rsid w:val="00502EA3"/>
    <w:rsid w:val="005132EE"/>
    <w:rsid w:val="00527085"/>
    <w:rsid w:val="00554258"/>
    <w:rsid w:val="00564CBD"/>
    <w:rsid w:val="005668B8"/>
    <w:rsid w:val="005E1E50"/>
    <w:rsid w:val="005F792D"/>
    <w:rsid w:val="0061380C"/>
    <w:rsid w:val="0063089F"/>
    <w:rsid w:val="00647A79"/>
    <w:rsid w:val="006B2902"/>
    <w:rsid w:val="006B62F8"/>
    <w:rsid w:val="0076565B"/>
    <w:rsid w:val="007832D4"/>
    <w:rsid w:val="0078764F"/>
    <w:rsid w:val="00791593"/>
    <w:rsid w:val="007953C7"/>
    <w:rsid w:val="007A2700"/>
    <w:rsid w:val="007D1DA8"/>
    <w:rsid w:val="007E64C9"/>
    <w:rsid w:val="00824837"/>
    <w:rsid w:val="0088014E"/>
    <w:rsid w:val="00892397"/>
    <w:rsid w:val="00896C84"/>
    <w:rsid w:val="008D7DCA"/>
    <w:rsid w:val="008E67C8"/>
    <w:rsid w:val="00920538"/>
    <w:rsid w:val="009806B8"/>
    <w:rsid w:val="009852D3"/>
    <w:rsid w:val="009862B6"/>
    <w:rsid w:val="009C03CC"/>
    <w:rsid w:val="009C2834"/>
    <w:rsid w:val="009E4F92"/>
    <w:rsid w:val="00A07C38"/>
    <w:rsid w:val="00B029AD"/>
    <w:rsid w:val="00B168EB"/>
    <w:rsid w:val="00B43BB0"/>
    <w:rsid w:val="00C34FC5"/>
    <w:rsid w:val="00C37F19"/>
    <w:rsid w:val="00C91232"/>
    <w:rsid w:val="00C952A1"/>
    <w:rsid w:val="00CB4743"/>
    <w:rsid w:val="00CC3402"/>
    <w:rsid w:val="00CD2CE8"/>
    <w:rsid w:val="00CD6BE3"/>
    <w:rsid w:val="00CF7C43"/>
    <w:rsid w:val="00D125BC"/>
    <w:rsid w:val="00D3162F"/>
    <w:rsid w:val="00D65669"/>
    <w:rsid w:val="00D700C9"/>
    <w:rsid w:val="00DA721C"/>
    <w:rsid w:val="00E60DE7"/>
    <w:rsid w:val="00EB108A"/>
    <w:rsid w:val="00EB5F5B"/>
    <w:rsid w:val="00EE399D"/>
    <w:rsid w:val="00F064C3"/>
    <w:rsid w:val="00F0768A"/>
    <w:rsid w:val="00F15557"/>
    <w:rsid w:val="00F43548"/>
    <w:rsid w:val="00F620FC"/>
    <w:rsid w:val="00FA0A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0234"/>
  <w15:chartTrackingRefBased/>
  <w15:docId w15:val="{3E1D6171-EAAE-8D46-81BB-4C5EC923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8B8"/>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8B8"/>
    <w:pPr>
      <w:ind w:left="720"/>
      <w:contextualSpacing/>
    </w:pPr>
  </w:style>
  <w:style w:type="character" w:styleId="Hyperlink">
    <w:name w:val="Hyperlink"/>
    <w:basedOn w:val="Absatz-Standardschriftart"/>
    <w:uiPriority w:val="99"/>
    <w:unhideWhenUsed/>
    <w:rsid w:val="005668B8"/>
    <w:rPr>
      <w:color w:val="0000FF"/>
      <w:u w:val="single"/>
    </w:rPr>
  </w:style>
  <w:style w:type="paragraph" w:styleId="Sprechblasentext">
    <w:name w:val="Balloon Text"/>
    <w:basedOn w:val="Standard"/>
    <w:link w:val="SprechblasentextZchn"/>
    <w:uiPriority w:val="99"/>
    <w:semiHidden/>
    <w:unhideWhenUsed/>
    <w:rsid w:val="00420F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0F2A"/>
    <w:rPr>
      <w:rFonts w:ascii="Segoe UI" w:hAnsi="Segoe UI" w:cs="Segoe UI"/>
      <w:sz w:val="18"/>
      <w:szCs w:val="18"/>
    </w:rPr>
  </w:style>
  <w:style w:type="character" w:styleId="NichtaufgelsteErwhnung">
    <w:name w:val="Unresolved Mention"/>
    <w:basedOn w:val="Absatz-Standardschriftart"/>
    <w:uiPriority w:val="99"/>
    <w:semiHidden/>
    <w:unhideWhenUsed/>
    <w:rsid w:val="00420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29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2998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Vass</dc:creator>
  <cp:keywords/>
  <dc:description/>
  <cp:lastModifiedBy>Matthias Wentzel</cp:lastModifiedBy>
  <cp:revision>4</cp:revision>
  <dcterms:created xsi:type="dcterms:W3CDTF">2020-03-05T10:55:00Z</dcterms:created>
  <dcterms:modified xsi:type="dcterms:W3CDTF">2020-03-09T16:41:00Z</dcterms:modified>
</cp:coreProperties>
</file>